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8C3F9" w14:textId="65050D24" w:rsidR="00A00A37" w:rsidRDefault="00980BA3" w:rsidP="00D447B0">
      <w:pPr>
        <w:pStyle w:val="Tytu"/>
        <w:rPr>
          <w:rFonts w:ascii="Times" w:hAnsi="Times"/>
          <w:b/>
          <w:color w:val="833C0B" w:themeColor="accent2" w:themeShade="80"/>
        </w:rPr>
      </w:pPr>
      <w:r>
        <w:rPr>
          <w:rFonts w:ascii="Times" w:hAnsi="Times"/>
          <w:b/>
          <w:color w:val="833C0B" w:themeColor="accent2" w:themeShade="80"/>
        </w:rPr>
        <w:t>Wymagania edukacyjne klasa 4 technika</w:t>
      </w:r>
    </w:p>
    <w:p w14:paraId="193D702C" w14:textId="77777777" w:rsidR="00980BA3" w:rsidRPr="00980BA3" w:rsidRDefault="00980BA3" w:rsidP="00980BA3">
      <w:bookmarkStart w:id="0" w:name="_GoBack"/>
      <w:bookmarkEnd w:id="0"/>
    </w:p>
    <w:p w14:paraId="611310F4" w14:textId="51DD5371"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14:paraId="67811C76" w14:textId="677DBE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14:paraId="5F2DC5DD" w14:textId="43ABE5FC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14:paraId="7A0C97CF" w14:textId="7E6CA514"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14:paraId="6D27CDD5" w14:textId="77777777" w:rsidR="00D447B0" w:rsidRPr="00A91E01" w:rsidRDefault="00D447B0" w:rsidP="00D447B0">
      <w:pPr>
        <w:rPr>
          <w:rFonts w:ascii="Times" w:hAnsi="Times"/>
        </w:rPr>
      </w:pPr>
    </w:p>
    <w:p w14:paraId="7187D92D" w14:textId="353DDB86"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14:paraId="464B48A9" w14:textId="0B6B390D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5D401DE2" w14:textId="05BA1FD4"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14:paraId="6FC7FD01" w14:textId="5063CE86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14:paraId="5D95C8D3" w14:textId="68FB664E"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14:paraId="1A185C8A" w14:textId="68E9B4BD"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14:paraId="027BA187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7E4F0CF8" w14:textId="092E0E9F"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14:paraId="059A4A86" w14:textId="19267BFF" w:rsidR="007604D9" w:rsidRDefault="007604D9" w:rsidP="00D2765C">
      <w:pPr>
        <w:rPr>
          <w:rFonts w:ascii="Times" w:hAnsi="Times"/>
          <w:b/>
        </w:rPr>
      </w:pPr>
    </w:p>
    <w:p w14:paraId="7FA31274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14:paraId="2E07F410" w14:textId="41143DAB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14:paraId="022AD079" w14:textId="5252FB8C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14:paraId="3F8C7073" w14:textId="27DB5624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14:paraId="09C2B1FE" w14:textId="06189ED2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14:paraId="746FAB64" w14:textId="2FB5AD62" w:rsidR="002660C0" w:rsidRDefault="002660C0" w:rsidP="00D2765C">
      <w:pPr>
        <w:rPr>
          <w:rFonts w:ascii="Times" w:hAnsi="Times"/>
          <w:b/>
        </w:rPr>
      </w:pPr>
    </w:p>
    <w:p w14:paraId="67C9680F" w14:textId="77777777" w:rsidR="008645C9" w:rsidRDefault="008645C9" w:rsidP="00D2765C">
      <w:pPr>
        <w:rPr>
          <w:rFonts w:ascii="Times" w:hAnsi="Times"/>
          <w:b/>
        </w:rPr>
      </w:pPr>
    </w:p>
    <w:p w14:paraId="1AA2AFC0" w14:textId="77777777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14:paraId="6E3D1211" w14:textId="26DD8D7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14:paraId="37EB14A8" w14:textId="7744C98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14:paraId="50843BE2" w14:textId="32D7087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14:paraId="7BFA388C" w14:textId="145ED19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14:paraId="49583ED5" w14:textId="6DF5A6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14:paraId="596F417A" w14:textId="6A0478F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14:paraId="1C2FC5D5" w14:textId="7B0866BD"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14:paraId="6FC52E0E" w14:textId="5A01DF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14:paraId="7A84B955" w14:textId="3A58D82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14:paraId="50C6E199" w14:textId="2CE6AC9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14:paraId="78C97DD3" w14:textId="45BF8B3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14:paraId="64ED0049" w14:textId="68C79E4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14:paraId="7330DB70" w14:textId="02E64CB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14:paraId="345F5F9C" w14:textId="064BAE4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14:paraId="49E3AA54" w14:textId="359D37E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14:paraId="3E0A3D5F" w14:textId="2C0002C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14:paraId="29E12BB9" w14:textId="183BDB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14:paraId="3E571340" w14:textId="1A3AEE7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14:paraId="2D8A5D30" w14:textId="5113F40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14:paraId="3025B33C" w14:textId="61A53B6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14:paraId="3159D280" w14:textId="7441B1AB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14:paraId="5DED39D6" w14:textId="533077F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14:paraId="70D0AF90" w14:textId="0F474A6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14:paraId="0E3E1B1E" w14:textId="2D696AC3" w:rsidR="002660C0" w:rsidRDefault="002660C0" w:rsidP="00D2765C">
      <w:pPr>
        <w:rPr>
          <w:rFonts w:ascii="Times" w:hAnsi="Times"/>
          <w:b/>
        </w:rPr>
      </w:pPr>
    </w:p>
    <w:p w14:paraId="58B5E8D2" w14:textId="2AC1778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14:paraId="55B1B600" w14:textId="1A7E27D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14:paraId="1DA0058E" w14:textId="794055A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14:paraId="1F01CD1D" w14:textId="39D2B0F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14:paraId="232691AD" w14:textId="3FA78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na czym polegają szczególna ostrożność i zasada ograniczonego zaufania, i w jakich sytuacjach na drodze należy je stosować,</w:t>
      </w:r>
    </w:p>
    <w:p w14:paraId="19AF5FE9" w14:textId="7C81CDF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14:paraId="77FF1AC0" w14:textId="735700C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14:paraId="10B21EEE" w14:textId="512342B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14:paraId="1C594896" w14:textId="15ACE09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14:paraId="284257D8" w14:textId="1DAC7F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14:paraId="1430B989" w14:textId="47104B0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14:paraId="2C4A7BDC" w14:textId="618DE3DF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14:paraId="407E7E83" w14:textId="6EFD2A0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14:paraId="4FC84E64" w14:textId="1F33DA2C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14:paraId="52743442" w14:textId="3DB72B7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14:paraId="4F05B153" w14:textId="0B9B6ED3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14:paraId="2870A5D4" w14:textId="4D10386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14:paraId="04968658" w14:textId="070857C8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14:paraId="1DAC86A8" w14:textId="05B4775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14:paraId="7EB6A6B5" w14:textId="51CC6B0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14:paraId="40265920" w14:textId="127BCB1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14:paraId="1A3605B5" w14:textId="024F9D43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14:paraId="40318518" w14:textId="46CBC3C8" w:rsidR="002660C0" w:rsidRDefault="002660C0" w:rsidP="00D2765C">
      <w:pPr>
        <w:rPr>
          <w:rFonts w:ascii="Times" w:hAnsi="Times"/>
          <w:b/>
        </w:rPr>
      </w:pPr>
    </w:p>
    <w:p w14:paraId="1C93D9ED" w14:textId="4B2CE481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6F1C0BAC" w14:textId="4B62704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14:paraId="21F8B6A1" w14:textId="2A435D86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14:paraId="5D82FCC1" w14:textId="765AD4F4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14:paraId="05274FC9" w14:textId="1DE66A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14:paraId="502C7310" w14:textId="6BBE5DA5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14:paraId="54470A9F" w14:textId="42FBDE11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14:paraId="446F5F7C" w14:textId="2AC16D1C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14:paraId="7FAEFD32" w14:textId="08AFBF0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14:paraId="77346F9B" w14:textId="4350B36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14:paraId="31AA84AC" w14:textId="1DD5C4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14:paraId="75B07B98" w14:textId="5B97E942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14:paraId="0E827081" w14:textId="631CA18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14:paraId="3D22C920" w14:textId="7C938BE8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14:paraId="7A8A964E" w14:textId="5919302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14:paraId="31B52BB1" w14:textId="66799C5F"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14:paraId="0E59FACC" w14:textId="5EAD0A74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14:paraId="2CF72141" w14:textId="7F6809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14:paraId="1FC3767C" w14:textId="424ACFC1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14:paraId="1222B63C" w14:textId="4A7FDE65" w:rsidR="002660C0" w:rsidRDefault="002660C0" w:rsidP="00D2765C">
      <w:pPr>
        <w:rPr>
          <w:rFonts w:ascii="Times" w:hAnsi="Times"/>
          <w:b/>
        </w:rPr>
      </w:pPr>
    </w:p>
    <w:p w14:paraId="234409FA" w14:textId="60B449F6"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043F7F09" w14:textId="14B5850F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14:paraId="12F92D20" w14:textId="55D984C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14:paraId="7C44E895" w14:textId="09FF9319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14:paraId="7A9B92AA" w14:textId="37A46C6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14:paraId="3D566B62" w14:textId="59BC5865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14:paraId="37627089" w14:textId="4E9D047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14:paraId="5683FAC1" w14:textId="71926BD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14:paraId="2037A6CA" w14:textId="2191E1B2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14:paraId="120663B6" w14:textId="2CBAE94B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14:paraId="1A2BE5CE" w14:textId="1994B977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14:paraId="211BDB84" w14:textId="6FAF6209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14:paraId="44C11BF6" w14:textId="799BCE30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14:paraId="3F5A915F" w14:textId="2C762FD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14:paraId="1087BDA9" w14:textId="358F95BE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14:paraId="4283AF32" w14:textId="5B69BC1D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14:paraId="50E4F0D9" w14:textId="1A6F7DDB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14:paraId="79F88CF2" w14:textId="4445148E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14:paraId="4F441121" w14:textId="6D4814F3"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14:paraId="01520A84" w14:textId="13A0E0AA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14:paraId="436A102B" w14:textId="38424C6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14:paraId="56FB0D86" w14:textId="231C6484"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14:paraId="7842B30E" w14:textId="2AA92AD5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14:paraId="31DC1713" w14:textId="362CF647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14:paraId="636DF876" w14:textId="449E4446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14:paraId="0CE1A86D" w14:textId="2B016189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14:paraId="4807241B" w14:textId="724858DE"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14:paraId="2683A455" w14:textId="60BCA541"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14:paraId="6F4A9DC7" w14:textId="77777777" w:rsidR="002660C0" w:rsidRDefault="002660C0" w:rsidP="00D2765C">
      <w:pPr>
        <w:rPr>
          <w:rFonts w:ascii="Times" w:hAnsi="Times"/>
          <w:b/>
        </w:rPr>
      </w:pPr>
    </w:p>
    <w:p w14:paraId="6690E3E0" w14:textId="77EECCC0"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14:paraId="5F82F984" w14:textId="26DA32CC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14:paraId="5AF8C25B" w14:textId="6363D0FA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14:paraId="14450DFB" w14:textId="32FEF60D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14:paraId="3835FF65" w14:textId="3F7A08B2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14:paraId="0A939BCA" w14:textId="6BDADF01"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14:paraId="5BCC3C8B" w14:textId="6941FDF9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14:paraId="453B881F" w14:textId="325BCAE0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</w:t>
      </w:r>
      <w:r w:rsidRPr="008645C9">
        <w:rPr>
          <w:rFonts w:ascii="Times" w:hAnsi="Times"/>
        </w:rPr>
        <w:lastRenderedPageBreak/>
        <w:t>dodatkowe roweru lub elementy ubioru rowerzysty mogące mieć wpływ na wzrost jego bezpieczeństwa,</w:t>
      </w:r>
    </w:p>
    <w:p w14:paraId="17E1EF1F" w14:textId="5387F24E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14:paraId="519F3447" w14:textId="0431DB6B"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14:paraId="5447B8C1" w14:textId="23B92116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14:paraId="5E879C74" w14:textId="4A6AFFB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14:paraId="1389EDE7" w14:textId="19FDF7C9"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14:paraId="63A57496" w14:textId="3E292DBA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14:paraId="5D7694CD" w14:textId="5CBE76A9"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14:paraId="4F9FF710" w14:textId="77777777" w:rsidR="007604D9" w:rsidRPr="007604D9" w:rsidRDefault="007604D9" w:rsidP="007604D9">
      <w:pPr>
        <w:rPr>
          <w:rFonts w:ascii="Times" w:hAnsi="Times"/>
        </w:rPr>
      </w:pPr>
    </w:p>
    <w:p w14:paraId="46D60A50" w14:textId="77777777" w:rsidR="007604D9" w:rsidRPr="007604D9" w:rsidRDefault="007604D9" w:rsidP="007604D9">
      <w:pPr>
        <w:rPr>
          <w:rFonts w:ascii="Times" w:hAnsi="Times"/>
        </w:rPr>
      </w:pPr>
    </w:p>
    <w:p w14:paraId="0DC7EA8D" w14:textId="637F1616"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14:paraId="497DEA08" w14:textId="0C76B4F4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14:paraId="7E880154" w14:textId="6B747A33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14:paraId="42A7FE35" w14:textId="17166EEE"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14:paraId="41D0197C" w14:textId="0F90AAC3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14:paraId="3BF3A7F2" w14:textId="11829667"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14:paraId="676E88E7" w14:textId="42F5CB20"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14:paraId="6A7E6A75" w14:textId="77777777" w:rsidR="007604D9" w:rsidRPr="00A91E01" w:rsidRDefault="007604D9" w:rsidP="007604D9">
      <w:pPr>
        <w:pStyle w:val="Akapitzlist"/>
        <w:rPr>
          <w:rFonts w:ascii="Times" w:hAnsi="Times"/>
        </w:rPr>
      </w:pPr>
    </w:p>
    <w:p w14:paraId="41408A42" w14:textId="59FDEA03"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14:paraId="1687047A" w14:textId="34231745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14:paraId="2AF1AB39" w14:textId="77777777" w:rsidR="00D2765C" w:rsidRPr="00A91E01" w:rsidRDefault="00D2765C" w:rsidP="00D2765C">
      <w:pPr>
        <w:rPr>
          <w:rFonts w:ascii="Times" w:hAnsi="Times"/>
        </w:rPr>
      </w:pPr>
    </w:p>
    <w:p w14:paraId="54C367C7" w14:textId="7C99B044"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14:paraId="6771249E" w14:textId="1FB30DBA"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14:paraId="3B5C59E4" w14:textId="6C2A4122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14:paraId="7A96ADBE" w14:textId="26057B6A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14:paraId="2A8FA508" w14:textId="4650D4EE" w:rsidR="000B4160" w:rsidRPr="00A91E01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14:paraId="019444E5" w14:textId="06B58CC0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14:paraId="3023A3D7" w14:textId="43FCC709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praktyczne,</w:t>
      </w:r>
    </w:p>
    <w:p w14:paraId="62512DBF" w14:textId="7E6753F3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lastRenderedPageBreak/>
        <w:t>zadanie domowe,</w:t>
      </w:r>
    </w:p>
    <w:p w14:paraId="5F54D808" w14:textId="719CFB16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14:paraId="54F092C2" w14:textId="4BB1A6FC"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14:paraId="3A69C8A2" w14:textId="687FE2F9"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samodzielna prezentacja,</w:t>
      </w:r>
    </w:p>
    <w:p w14:paraId="2C3AECE0" w14:textId="0D336917"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14:paraId="085349C9" w14:textId="77777777" w:rsidR="000B4160" w:rsidRPr="00A91E01" w:rsidRDefault="000B4160" w:rsidP="000B4160">
      <w:pPr>
        <w:pStyle w:val="Akapitzlist"/>
        <w:rPr>
          <w:rFonts w:ascii="Times" w:hAnsi="Times"/>
        </w:rPr>
      </w:pPr>
    </w:p>
    <w:p w14:paraId="4FDED669" w14:textId="21A5C6F6" w:rsidR="00A91E01" w:rsidRPr="00A91E01" w:rsidRDefault="00D2765C" w:rsidP="00C14370">
      <w:pPr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94648" w14:textId="77777777" w:rsidR="001C390E" w:rsidRDefault="001C390E" w:rsidP="00CC5B44">
      <w:r>
        <w:separator/>
      </w:r>
    </w:p>
  </w:endnote>
  <w:endnote w:type="continuationSeparator" w:id="0">
    <w:p w14:paraId="3AD79289" w14:textId="77777777" w:rsidR="001C390E" w:rsidRDefault="001C390E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0634182"/>
      <w:docPartObj>
        <w:docPartGallery w:val="Page Numbers (Bottom of Page)"/>
        <w:docPartUnique/>
      </w:docPartObj>
    </w:sdtPr>
    <w:sdtEndPr/>
    <w:sdtContent>
      <w:p w14:paraId="53D8E20F" w14:textId="0FC4601B" w:rsidR="00C14370" w:rsidRDefault="00C143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BA3">
          <w:rPr>
            <w:noProof/>
          </w:rPr>
          <w:t>1</w:t>
        </w:r>
        <w:r>
          <w:fldChar w:fldCharType="end"/>
        </w:r>
      </w:p>
    </w:sdtContent>
  </w:sdt>
  <w:p w14:paraId="501A271C" w14:textId="7B82613A"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B61AF" w14:textId="77777777" w:rsidR="001C390E" w:rsidRDefault="001C390E" w:rsidP="00CC5B44">
      <w:r>
        <w:separator/>
      </w:r>
    </w:p>
  </w:footnote>
  <w:footnote w:type="continuationSeparator" w:id="0">
    <w:p w14:paraId="38A64DE6" w14:textId="77777777" w:rsidR="001C390E" w:rsidRDefault="001C390E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FE"/>
    <w:rsid w:val="00032DFE"/>
    <w:rsid w:val="000B4160"/>
    <w:rsid w:val="00173B92"/>
    <w:rsid w:val="00176768"/>
    <w:rsid w:val="001C390E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C7863"/>
    <w:rsid w:val="00731AD0"/>
    <w:rsid w:val="007604D9"/>
    <w:rsid w:val="008645C9"/>
    <w:rsid w:val="0089185A"/>
    <w:rsid w:val="008F3BE7"/>
    <w:rsid w:val="00937905"/>
    <w:rsid w:val="00980BA3"/>
    <w:rsid w:val="009A6F16"/>
    <w:rsid w:val="00A320EE"/>
    <w:rsid w:val="00A65A0D"/>
    <w:rsid w:val="00A91E01"/>
    <w:rsid w:val="00C14370"/>
    <w:rsid w:val="00CC5B44"/>
    <w:rsid w:val="00D2765C"/>
    <w:rsid w:val="00D447B0"/>
    <w:rsid w:val="00E44AD9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2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2175</Words>
  <Characters>13055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Konto Microsoft</cp:lastModifiedBy>
  <cp:revision>3</cp:revision>
  <dcterms:created xsi:type="dcterms:W3CDTF">2025-09-07T14:59:00Z</dcterms:created>
  <dcterms:modified xsi:type="dcterms:W3CDTF">2025-09-07T14:59:00Z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